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287C44D2"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FC2496">
        <w:rPr>
          <w:b/>
          <w:bCs/>
          <w:smallCaps/>
          <w:spacing w:val="30"/>
          <w:sz w:val="36"/>
          <w:szCs w:val="36"/>
          <w:lang w:val="cs-CZ" w:eastAsia="cs-CZ"/>
        </w:rPr>
        <w:t>2</w:t>
      </w:r>
      <w:r w:rsidRPr="00EE2124">
        <w:rPr>
          <w:b/>
          <w:bCs/>
          <w:smallCaps/>
          <w:spacing w:val="30"/>
          <w:sz w:val="36"/>
          <w:szCs w:val="36"/>
          <w:lang w:val="cs-CZ" w:eastAsia="cs-CZ"/>
        </w:rPr>
        <w:t xml:space="preserve"> – </w:t>
      </w:r>
    </w:p>
    <w:p w14:paraId="22FA4AEC" w14:textId="652AD673" w:rsidR="00EF5CAB" w:rsidRPr="00EE2124" w:rsidRDefault="00FC2496" w:rsidP="00EF5CAB">
      <w:pPr>
        <w:pStyle w:val="Zhlav"/>
        <w:spacing w:after="120"/>
        <w:jc w:val="center"/>
        <w:rPr>
          <w:b/>
          <w:bCs/>
          <w:sz w:val="21"/>
          <w:szCs w:val="21"/>
        </w:rPr>
      </w:pPr>
      <w:r w:rsidRPr="00FC2496">
        <w:rPr>
          <w:b/>
          <w:bCs/>
          <w:smallCaps/>
          <w:spacing w:val="30"/>
          <w:sz w:val="36"/>
          <w:szCs w:val="36"/>
          <w:lang w:val="cs-CZ" w:eastAsia="cs-CZ"/>
        </w:rPr>
        <w:t xml:space="preserve">II/398 Horní Dunajovice - Mikulovice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7868B555" w14:textId="77777777" w:rsidR="0000383A" w:rsidRDefault="0000383A"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r>
      <w:proofErr w:type="spellStart"/>
      <w:proofErr w:type="gramStart"/>
      <w:r>
        <w:rPr>
          <w:sz w:val="21"/>
          <w:szCs w:val="21"/>
        </w:rPr>
        <w:t>sp.zn</w:t>
      </w:r>
      <w:proofErr w:type="spellEnd"/>
      <w:r>
        <w:rPr>
          <w:sz w:val="21"/>
          <w:szCs w:val="21"/>
        </w:rPr>
        <w:t>.</w:t>
      </w:r>
      <w:proofErr w:type="gramEnd"/>
      <w:r>
        <w:rPr>
          <w:sz w:val="21"/>
          <w:szCs w:val="21"/>
        </w:rPr>
        <w:t xml:space="preserve"> </w:t>
      </w:r>
      <w:proofErr w:type="spellStart"/>
      <w:r>
        <w:rPr>
          <w:sz w:val="21"/>
          <w:szCs w:val="21"/>
        </w:rPr>
        <w:t>Pr</w:t>
      </w:r>
      <w:proofErr w:type="spellEnd"/>
      <w:r>
        <w:rPr>
          <w:sz w:val="21"/>
          <w:szCs w:val="21"/>
        </w:rPr>
        <w:t>. 287</w:t>
      </w:r>
    </w:p>
    <w:p w14:paraId="25B5B347" w14:textId="0D662DB7" w:rsidR="00DA6078" w:rsidRPr="0084760C" w:rsidRDefault="00DA6078" w:rsidP="00DA6078">
      <w:pPr>
        <w:tabs>
          <w:tab w:val="left" w:pos="0"/>
        </w:tabs>
        <w:spacing w:after="120"/>
        <w:rPr>
          <w:sz w:val="21"/>
          <w:szCs w:val="21"/>
        </w:rPr>
      </w:pPr>
      <w:r w:rsidRPr="0084760C">
        <w:rPr>
          <w:sz w:val="21"/>
          <w:szCs w:val="21"/>
        </w:rPr>
        <w:t xml:space="preserve">zastoupená </w:t>
      </w:r>
      <w:r w:rsidR="00FC2496" w:rsidRPr="00FC2496">
        <w:rPr>
          <w:sz w:val="21"/>
          <w:szCs w:val="21"/>
        </w:rPr>
        <w:t>Bc. Romanem Hanákem</w:t>
      </w:r>
      <w:r w:rsidRPr="0084760C">
        <w:rPr>
          <w:sz w:val="21"/>
          <w:szCs w:val="21"/>
        </w:rPr>
        <w:t>,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r>
      <w:proofErr w:type="spellStart"/>
      <w:proofErr w:type="gramStart"/>
      <w:r w:rsidRPr="00C76DBA">
        <w:rPr>
          <w:sz w:val="21"/>
          <w:szCs w:val="21"/>
        </w:rPr>
        <w:t>sp.zn</w:t>
      </w:r>
      <w:proofErr w:type="spellEnd"/>
      <w:r w:rsidRPr="00C76DBA">
        <w:rPr>
          <w:sz w:val="21"/>
          <w:szCs w:val="21"/>
        </w:rPr>
        <w:t>.</w:t>
      </w:r>
      <w:proofErr w:type="gramEnd"/>
      <w:r w:rsidRPr="00C76DBA">
        <w:rPr>
          <w:sz w:val="21"/>
          <w:szCs w:val="21"/>
        </w:rPr>
        <w:t xml:space="preserve">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76EC07A5" w:rsidR="00EF5CAB" w:rsidRPr="00FC2496" w:rsidRDefault="004E31FE" w:rsidP="00FC2496">
      <w:pPr>
        <w:numPr>
          <w:ilvl w:val="6"/>
          <w:numId w:val="12"/>
        </w:numPr>
        <w:tabs>
          <w:tab w:val="clear" w:pos="5040"/>
        </w:tabs>
        <w:spacing w:before="120" w:after="120"/>
        <w:ind w:left="567" w:hanging="567"/>
        <w:rPr>
          <w:b/>
          <w:sz w:val="21"/>
          <w:szCs w:val="21"/>
        </w:rPr>
      </w:pPr>
      <w:r w:rsidRPr="00D63DE6">
        <w:rPr>
          <w:b/>
          <w:sz w:val="21"/>
          <w:szCs w:val="21"/>
        </w:rPr>
        <w:t>Dílem je</w:t>
      </w:r>
      <w:r w:rsidR="00DA6078" w:rsidRPr="00D63DE6">
        <w:rPr>
          <w:sz w:val="21"/>
          <w:szCs w:val="21"/>
        </w:rPr>
        <w:t xml:space="preserve"> </w:t>
      </w:r>
      <w:r w:rsidR="00D63DE6" w:rsidRPr="00D63DE6">
        <w:rPr>
          <w:sz w:val="21"/>
          <w:szCs w:val="21"/>
        </w:rPr>
        <w:t>oprava</w:t>
      </w:r>
      <w:r w:rsidR="00060DA3">
        <w:rPr>
          <w:sz w:val="21"/>
          <w:szCs w:val="21"/>
        </w:rPr>
        <w:t xml:space="preserve"> s</w:t>
      </w:r>
      <w:r w:rsidR="00060DA3" w:rsidRPr="00060DA3">
        <w:rPr>
          <w:sz w:val="21"/>
          <w:szCs w:val="21"/>
        </w:rPr>
        <w:t xml:space="preserve">ilnice </w:t>
      </w:r>
      <w:r w:rsidR="00FC2496" w:rsidRPr="00FC2496">
        <w:rPr>
          <w:sz w:val="21"/>
          <w:szCs w:val="21"/>
        </w:rPr>
        <w:t xml:space="preserve">II/398 v km 13,010  - 17,170 mezi obcemi Horní Dunajovice a Mikulovice. Délka úseku je 4,160 km. Technologie </w:t>
      </w:r>
      <w:proofErr w:type="gramStart"/>
      <w:r w:rsidR="00FC2496" w:rsidRPr="00FC2496">
        <w:rPr>
          <w:sz w:val="21"/>
          <w:szCs w:val="21"/>
        </w:rPr>
        <w:t>opravy:  lokální</w:t>
      </w:r>
      <w:proofErr w:type="gramEnd"/>
      <w:r w:rsidR="00FC2496" w:rsidRPr="00FC2496">
        <w:rPr>
          <w:sz w:val="21"/>
          <w:szCs w:val="21"/>
        </w:rPr>
        <w:t xml:space="preserve"> sanace do 10% celkové plochy, sanace trhlin, dvouvrstvý mikrokoberec, vodorovné dopravní značení</w:t>
      </w:r>
      <w:r w:rsidR="00D63DE6" w:rsidRPr="00FC2496">
        <w:rPr>
          <w:sz w:val="21"/>
          <w:szCs w:val="21"/>
        </w:rPr>
        <w:t xml:space="preserve"> </w:t>
      </w:r>
      <w:r w:rsidR="00CF2365" w:rsidRPr="00FC2496">
        <w:rPr>
          <w:sz w:val="21"/>
          <w:szCs w:val="21"/>
        </w:rPr>
        <w:t>(dále také „dílo“ nebo „stavba“)</w:t>
      </w:r>
      <w:r w:rsidR="005C340C" w:rsidRPr="00FC2496">
        <w:rPr>
          <w:sz w:val="21"/>
          <w:szCs w:val="21"/>
        </w:rPr>
        <w:t>.</w:t>
      </w:r>
      <w:r w:rsidR="00EF5CAB" w:rsidRPr="00FC2496">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318225C0"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D63DE6">
        <w:rPr>
          <w:sz w:val="21"/>
          <w:szCs w:val="21"/>
        </w:rPr>
        <w:t xml:space="preserve">investiční úsek </w:t>
      </w:r>
      <w:r w:rsidR="00D63DE6" w:rsidRPr="008611F8">
        <w:rPr>
          <w:sz w:val="21"/>
          <w:szCs w:val="21"/>
        </w:rPr>
        <w:t>oblast</w:t>
      </w:r>
      <w:r w:rsidR="00D63DE6">
        <w:rPr>
          <w:sz w:val="21"/>
          <w:szCs w:val="21"/>
        </w:rPr>
        <w:t>i</w:t>
      </w:r>
      <w:r w:rsidR="00D63DE6" w:rsidRPr="008611F8">
        <w:rPr>
          <w:sz w:val="21"/>
          <w:szCs w:val="21"/>
        </w:rPr>
        <w:t xml:space="preserve"> </w:t>
      </w:r>
      <w:r w:rsidR="005D614F" w:rsidRPr="005D614F">
        <w:rPr>
          <w:sz w:val="21"/>
          <w:szCs w:val="21"/>
        </w:rPr>
        <w:t>Západ, Kotkova 3725/24, 669 02 Znojmo</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034660A6" w:rsidR="00EF5CAB" w:rsidRPr="00FB22ED" w:rsidRDefault="00EF5CAB" w:rsidP="00EF5CAB">
      <w:pPr>
        <w:numPr>
          <w:ilvl w:val="2"/>
          <w:numId w:val="1"/>
        </w:numPr>
        <w:tabs>
          <w:tab w:val="clear" w:pos="2160"/>
          <w:tab w:val="num" w:pos="1080"/>
        </w:tabs>
        <w:ind w:left="1077"/>
        <w:jc w:val="both"/>
        <w:rPr>
          <w:sz w:val="21"/>
          <w:szCs w:val="21"/>
        </w:rPr>
      </w:pPr>
      <w:r w:rsidRPr="00FB22ED">
        <w:rPr>
          <w:sz w:val="21"/>
          <w:szCs w:val="21"/>
        </w:rPr>
        <w:t>situace stavby</w:t>
      </w:r>
      <w:r w:rsidR="00FB1F57" w:rsidRPr="00FB22ED">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FE20011" w:rsidR="00EF5CAB" w:rsidRDefault="00EF5CAB" w:rsidP="00EF5CAB">
      <w:pPr>
        <w:numPr>
          <w:ilvl w:val="2"/>
          <w:numId w:val="1"/>
        </w:numPr>
        <w:tabs>
          <w:tab w:val="clear" w:pos="2160"/>
          <w:tab w:val="num" w:pos="1080"/>
        </w:tabs>
        <w:ind w:left="1080"/>
        <w:jc w:val="both"/>
        <w:rPr>
          <w:sz w:val="21"/>
          <w:szCs w:val="21"/>
        </w:rPr>
      </w:pPr>
      <w:r w:rsidRPr="00EE2124">
        <w:rPr>
          <w:sz w:val="21"/>
          <w:szCs w:val="21"/>
        </w:rPr>
        <w:t xml:space="preserve">technické kvalitativní podmínky staveb pozemních komunikací, vydané Ministerstvem dopravy ve znění účinném ke dni uzavření </w:t>
      </w:r>
      <w:r w:rsidRPr="0000383A">
        <w:rPr>
          <w:sz w:val="21"/>
          <w:szCs w:val="21"/>
        </w:rPr>
        <w:t>smlouvy</w:t>
      </w:r>
      <w:r w:rsidR="00BA55B9" w:rsidRPr="0000383A">
        <w:rPr>
          <w:sz w:val="21"/>
          <w:szCs w:val="21"/>
        </w:rPr>
        <w:t xml:space="preserve"> </w:t>
      </w:r>
      <w:r w:rsidR="00BA55B9" w:rsidRPr="0000383A">
        <w:rPr>
          <w:sz w:val="21"/>
          <w:szCs w:val="21"/>
        </w:rPr>
        <w:t>(uveřejněn</w:t>
      </w:r>
      <w:r w:rsidR="00BA55B9" w:rsidRPr="0000383A">
        <w:rPr>
          <w:sz w:val="21"/>
          <w:szCs w:val="21"/>
        </w:rPr>
        <w:t>o</w:t>
      </w:r>
      <w:r w:rsidR="00BA55B9" w:rsidRPr="0000383A">
        <w:rPr>
          <w:sz w:val="21"/>
          <w:szCs w:val="21"/>
        </w:rPr>
        <w:t xml:space="preserve"> </w:t>
      </w:r>
      <w:hyperlink r:id="rId7" w:history="1">
        <w:r w:rsidR="00BA55B9" w:rsidRPr="0000383A">
          <w:rPr>
            <w:rStyle w:val="Hypertextovodkaz"/>
            <w:sz w:val="21"/>
            <w:szCs w:val="21"/>
          </w:rPr>
          <w:t>www.pjpk.cz</w:t>
        </w:r>
      </w:hyperlink>
      <w:r w:rsidR="00BA55B9" w:rsidRPr="0000383A">
        <w:rPr>
          <w:sz w:val="21"/>
          <w:szCs w:val="21"/>
        </w:rPr>
        <w:t>)</w:t>
      </w:r>
      <w:r w:rsidRPr="0000383A">
        <w:rPr>
          <w:sz w:val="21"/>
          <w:szCs w:val="21"/>
        </w:rPr>
        <w:t>.</w:t>
      </w:r>
    </w:p>
    <w:p w14:paraId="2319DA75" w14:textId="0ACCA3A3" w:rsidR="00CF76C7" w:rsidRPr="00F027C9" w:rsidRDefault="00CF76C7" w:rsidP="00CF76C7">
      <w:pPr>
        <w:pStyle w:val="Odstavecseseznamem"/>
        <w:spacing w:before="120" w:after="120"/>
        <w:jc w:val="both"/>
        <w:rPr>
          <w:sz w:val="21"/>
          <w:szCs w:val="21"/>
        </w:rPr>
      </w:pPr>
      <w:r w:rsidRPr="00F027C9">
        <w:rPr>
          <w:sz w:val="21"/>
          <w:szCs w:val="21"/>
        </w:rPr>
        <w:t xml:space="preserve">Stavební výrobek (emulzní mikrokoberec dvouvrstvý) musí splňovat požadavky stanovené </w:t>
      </w:r>
      <w:proofErr w:type="gramStart"/>
      <w:r w:rsidRPr="00F027C9">
        <w:rPr>
          <w:sz w:val="21"/>
          <w:szCs w:val="21"/>
        </w:rPr>
        <w:t>harmonizovanou     českou</w:t>
      </w:r>
      <w:proofErr w:type="gramEnd"/>
      <w:r w:rsidRPr="00F027C9">
        <w:rPr>
          <w:sz w:val="21"/>
          <w:szCs w:val="21"/>
        </w:rPr>
        <w:t xml:space="preserve"> technickou normou ČSN EN 12273:2009 Kalové vrstvy – Specifikace. </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40FA1262" w14:textId="5A787983" w:rsidR="0000383A" w:rsidRPr="0000383A" w:rsidRDefault="004E31FE" w:rsidP="0000383A">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Pr="0000383A" w:rsidRDefault="00EE63F8" w:rsidP="00041220">
      <w:pPr>
        <w:tabs>
          <w:tab w:val="num" w:pos="540"/>
        </w:tabs>
        <w:spacing w:before="120" w:after="120"/>
        <w:rPr>
          <w:b/>
          <w:smallCaps/>
          <w:sz w:val="22"/>
          <w:szCs w:val="22"/>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2C967CCD" w:rsidR="00EF5CAB" w:rsidRPr="004E31FE" w:rsidRDefault="00EC2166" w:rsidP="00060DA3">
            <w:pPr>
              <w:tabs>
                <w:tab w:val="num" w:pos="540"/>
              </w:tabs>
              <w:spacing w:before="120" w:after="120"/>
              <w:jc w:val="right"/>
              <w:rPr>
                <w:b/>
                <w:sz w:val="21"/>
                <w:szCs w:val="21"/>
              </w:rPr>
            </w:pPr>
            <w:r>
              <w:rPr>
                <w:b/>
                <w:sz w:val="21"/>
                <w:szCs w:val="21"/>
              </w:rPr>
              <w:t xml:space="preserve">do </w:t>
            </w:r>
            <w:r w:rsidR="00060DA3">
              <w:rPr>
                <w:b/>
                <w:sz w:val="21"/>
                <w:szCs w:val="21"/>
              </w:rPr>
              <w:t>9</w:t>
            </w:r>
            <w:r w:rsidR="00D63DE6">
              <w:rPr>
                <w:b/>
                <w:sz w:val="21"/>
                <w:szCs w:val="21"/>
              </w:rPr>
              <w:t>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43CD743A" w:rsidR="00750A8E" w:rsidRPr="0000383A" w:rsidRDefault="00DA4F40" w:rsidP="00466BFA">
      <w:pPr>
        <w:numPr>
          <w:ilvl w:val="0"/>
          <w:numId w:val="3"/>
        </w:numPr>
        <w:tabs>
          <w:tab w:val="clear" w:pos="720"/>
          <w:tab w:val="num" w:pos="540"/>
        </w:tabs>
        <w:spacing w:before="120" w:after="120"/>
        <w:ind w:left="539" w:hanging="539"/>
        <w:jc w:val="both"/>
        <w:rPr>
          <w:sz w:val="21"/>
          <w:szCs w:val="21"/>
        </w:rPr>
      </w:pPr>
      <w:r w:rsidRPr="0000383A">
        <w:rPr>
          <w:sz w:val="21"/>
          <w:szCs w:val="21"/>
        </w:rPr>
        <w:t xml:space="preserve">Objednatel předá a zhotovitel </w:t>
      </w:r>
      <w:proofErr w:type="gramStart"/>
      <w:r w:rsidRPr="0000383A">
        <w:rPr>
          <w:sz w:val="21"/>
          <w:szCs w:val="21"/>
        </w:rPr>
        <w:t>převezme</w:t>
      </w:r>
      <w:r w:rsidR="00750A8E" w:rsidRPr="0000383A">
        <w:rPr>
          <w:sz w:val="21"/>
          <w:szCs w:val="21"/>
        </w:rPr>
        <w:t xml:space="preserve"> </w:t>
      </w:r>
      <w:r w:rsidR="00466BFA" w:rsidRPr="0000383A">
        <w:rPr>
          <w:sz w:val="21"/>
          <w:szCs w:val="21"/>
        </w:rPr>
        <w:t xml:space="preserve"> prostor</w:t>
      </w:r>
      <w:proofErr w:type="gramEnd"/>
      <w:r w:rsidR="00466BFA" w:rsidRPr="0000383A">
        <w:rPr>
          <w:sz w:val="21"/>
          <w:szCs w:val="21"/>
        </w:rPr>
        <w:t xml:space="preserve"> staveniště na základě písemného protokolu. O převzetí staveniště bude sepsán protokol. </w:t>
      </w:r>
      <w:r w:rsidR="00BA55B9" w:rsidRPr="0000383A">
        <w:rPr>
          <w:sz w:val="21"/>
          <w:szCs w:val="21"/>
        </w:rPr>
        <w:t>Při předání staveniště bude správcem stavby zapsán do protokolu o předání staveniště termín pro dokončení díla v souladu s odst. 1 tohoto článku.</w:t>
      </w:r>
    </w:p>
    <w:p w14:paraId="2E31B52D" w14:textId="0535E7B8" w:rsidR="00466BFA" w:rsidRPr="009873C1" w:rsidRDefault="00466BFA" w:rsidP="00466BFA">
      <w:pPr>
        <w:numPr>
          <w:ilvl w:val="0"/>
          <w:numId w:val="3"/>
        </w:numPr>
        <w:tabs>
          <w:tab w:val="clear" w:pos="720"/>
          <w:tab w:val="num" w:pos="540"/>
        </w:tabs>
        <w:spacing w:before="120" w:after="120"/>
        <w:ind w:left="540" w:hanging="540"/>
        <w:jc w:val="both"/>
        <w:rPr>
          <w:sz w:val="21"/>
          <w:szCs w:val="21"/>
        </w:rPr>
      </w:pPr>
      <w:r w:rsidRPr="009873C1">
        <w:rPr>
          <w:sz w:val="21"/>
          <w:szCs w:val="21"/>
        </w:rPr>
        <w:t>Předání a převzetí díla probíhá jako řízení, jehož předmětem je zjištění skutečného díla. Předání a převzetí díla nemůže být ukončeno, dokud nebude zjištěno, že je cel</w:t>
      </w:r>
      <w:r w:rsidR="00CE5319" w:rsidRPr="009873C1">
        <w:rPr>
          <w:sz w:val="21"/>
          <w:szCs w:val="21"/>
        </w:rPr>
        <w:t xml:space="preserve">é </w:t>
      </w:r>
      <w:r w:rsidRPr="009873C1">
        <w:rPr>
          <w:sz w:val="21"/>
          <w:szCs w:val="21"/>
        </w:rPr>
        <w:t xml:space="preserve">dílo provedeno úplně a bezvadně. Zhotovitel vyzve objednatele k  předání a převzetí díla písemně, </w:t>
      </w:r>
      <w:r w:rsidRPr="009873C1">
        <w:rPr>
          <w:color w:val="000000"/>
          <w:sz w:val="21"/>
          <w:szCs w:val="21"/>
        </w:rPr>
        <w:t>alespoň 5 pracovních dnů předem.</w:t>
      </w:r>
      <w:r w:rsidRPr="009873C1">
        <w:rPr>
          <w:sz w:val="21"/>
          <w:szCs w:val="21"/>
        </w:rPr>
        <w:t xml:space="preserve"> O předání a převzetí díla nebo je zhotovitel povinen sepsat protokol, který bude datován a podepsán oprávněnými zástupci smluvních stran. </w:t>
      </w:r>
    </w:p>
    <w:p w14:paraId="44003F1D" w14:textId="5331052E" w:rsidR="00EF5CAB" w:rsidRPr="009873C1" w:rsidRDefault="00466BFA" w:rsidP="00EF5CAB">
      <w:pPr>
        <w:numPr>
          <w:ilvl w:val="0"/>
          <w:numId w:val="3"/>
        </w:numPr>
        <w:tabs>
          <w:tab w:val="clear" w:pos="720"/>
          <w:tab w:val="num" w:pos="540"/>
        </w:tabs>
        <w:spacing w:before="120" w:after="120"/>
        <w:ind w:left="539" w:hanging="539"/>
        <w:jc w:val="both"/>
        <w:rPr>
          <w:sz w:val="21"/>
          <w:szCs w:val="21"/>
        </w:rPr>
      </w:pPr>
      <w:r w:rsidRPr="009873C1">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w:t>
      </w:r>
      <w:r w:rsidR="00CE5319" w:rsidRPr="009873C1">
        <w:rPr>
          <w:sz w:val="21"/>
          <w:szCs w:val="21"/>
        </w:rPr>
        <w:t>rozs</w:t>
      </w:r>
      <w:r w:rsidRPr="009873C1">
        <w:rPr>
          <w:sz w:val="21"/>
          <w:szCs w:val="21"/>
        </w:rPr>
        <w:t xml:space="preserve">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5ADA748C" w14:textId="1619D76A" w:rsidR="0000383A" w:rsidRPr="0000383A" w:rsidRDefault="004E31FE" w:rsidP="0000383A">
      <w:pPr>
        <w:numPr>
          <w:ilvl w:val="0"/>
          <w:numId w:val="2"/>
        </w:numPr>
        <w:tabs>
          <w:tab w:val="clear" w:pos="720"/>
          <w:tab w:val="num" w:pos="540"/>
        </w:tabs>
        <w:spacing w:before="120" w:after="120"/>
        <w:ind w:left="540" w:hanging="540"/>
        <w:jc w:val="both"/>
        <w:rPr>
          <w:sz w:val="21"/>
          <w:szCs w:val="21"/>
        </w:rPr>
      </w:pPr>
      <w:r w:rsidRPr="0000383A">
        <w:rPr>
          <w:sz w:val="21"/>
          <w:szCs w:val="21"/>
        </w:rPr>
        <w:t xml:space="preserve">Cena díla je sjednána jako nejvyšší přípustná, zahrnující veškeré náklady zhotovitele na zhotovení díla v souladu </w:t>
      </w:r>
      <w:r w:rsidR="00BA55B9" w:rsidRPr="0000383A">
        <w:rPr>
          <w:sz w:val="21"/>
          <w:szCs w:val="21"/>
        </w:rPr>
        <w:t>se</w:t>
      </w:r>
      <w:r w:rsidRPr="0000383A">
        <w:rPr>
          <w:sz w:val="21"/>
          <w:szCs w:val="21"/>
        </w:rPr>
        <w:t xml:space="preserve"> soupisem prací dle přílohy č. 1 smlouvy a cenové vlivy v průběhu plnění této smlouvy.</w:t>
      </w:r>
    </w:p>
    <w:p w14:paraId="7B36F1E9" w14:textId="77777777" w:rsidR="00EF5CAB" w:rsidRPr="00EE2124" w:rsidRDefault="00EF5CAB" w:rsidP="0000383A">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00383A">
      <w:pPr>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00383A">
      <w:pPr>
        <w:keepLines/>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8"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lastRenderedPageBreak/>
        <w:t>Přílohou faktur bude zjišťovací protokol</w:t>
      </w:r>
      <w:r w:rsidR="000A4E24">
        <w:rPr>
          <w:sz w:val="21"/>
          <w:szCs w:val="21"/>
        </w:rPr>
        <w:t xml:space="preserve"> bez tohoto protokolu </w:t>
      </w:r>
      <w:proofErr w:type="gramStart"/>
      <w:r w:rsidR="000A4E24">
        <w:rPr>
          <w:sz w:val="21"/>
          <w:szCs w:val="21"/>
        </w:rPr>
        <w:t>je</w:t>
      </w:r>
      <w:proofErr w:type="gramEnd"/>
      <w:r w:rsidR="000A4E24">
        <w:rPr>
          <w:sz w:val="21"/>
          <w:szCs w:val="21"/>
        </w:rPr>
        <w:t xml:space="preserv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w:t>
      </w:r>
      <w:proofErr w:type="spellStart"/>
      <w:r w:rsidRPr="00C50E54">
        <w:rPr>
          <w:sz w:val="21"/>
          <w:szCs w:val="21"/>
        </w:rPr>
        <w:t>xl</w:t>
      </w:r>
      <w:r w:rsidR="00041604">
        <w:rPr>
          <w:sz w:val="21"/>
          <w:szCs w:val="21"/>
        </w:rPr>
        <w:t>s</w:t>
      </w:r>
      <w:proofErr w:type="spellEnd"/>
      <w:r w:rsidRPr="00C50E54">
        <w:rPr>
          <w:sz w:val="21"/>
          <w:szCs w:val="21"/>
        </w:rPr>
        <w:t xml:space="preserve"> správci stavby a zaslány elektronicky ve</w:t>
      </w:r>
      <w:r>
        <w:rPr>
          <w:sz w:val="21"/>
          <w:szCs w:val="21"/>
        </w:rPr>
        <w:t> </w:t>
      </w:r>
      <w:r w:rsidRPr="00B70A41">
        <w:rPr>
          <w:sz w:val="21"/>
          <w:szCs w:val="21"/>
        </w:rPr>
        <w:t>formátu *.</w:t>
      </w:r>
      <w:proofErr w:type="spellStart"/>
      <w:r w:rsidRPr="00B70A41">
        <w:rPr>
          <w:sz w:val="21"/>
          <w:szCs w:val="21"/>
        </w:rPr>
        <w:t>pdf</w:t>
      </w:r>
      <w:proofErr w:type="spellEnd"/>
      <w:r w:rsidRPr="00B70A41">
        <w:rPr>
          <w:sz w:val="21"/>
          <w:szCs w:val="21"/>
        </w:rPr>
        <w:t xml:space="preserve">  společně s fakturou na adresu </w:t>
      </w:r>
      <w:hyperlink r:id="rId9"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452BAC8C"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r w:rsidR="00FC2496">
        <w:rPr>
          <w:sz w:val="21"/>
          <w:szCs w:val="21"/>
        </w:rPr>
        <w:t xml:space="preserve"> a novou lhůtou splatnosti</w:t>
      </w:r>
      <w:r w:rsidRPr="00FC2873">
        <w:rPr>
          <w:sz w:val="21"/>
          <w:szCs w:val="21"/>
        </w:rPr>
        <w:t>.</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 xml:space="preserve">Zhotovitel dává souhlas s platbou s platbou DPH na účet místně příslušného správce daně v případě, že bude v registru plátců DPH označen jako nespolehlivý, nebo bude požadovat úhradu na jiný než zveřejněný bankovní účet podle § 109 </w:t>
      </w:r>
      <w:proofErr w:type="gramStart"/>
      <w:r w:rsidRPr="00CC27BE">
        <w:rPr>
          <w:sz w:val="21"/>
          <w:szCs w:val="21"/>
        </w:rPr>
        <w:t>odst.2 písm.</w:t>
      </w:r>
      <w:proofErr w:type="gramEnd"/>
      <w:r w:rsidRPr="00CC27BE">
        <w:rPr>
          <w:sz w:val="21"/>
          <w:szCs w:val="21"/>
        </w:rPr>
        <w:t xml:space="preserve">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3BFDA94E" w:rsidR="004E31FE" w:rsidRPr="0000383A" w:rsidRDefault="004E31FE" w:rsidP="004E31FE">
      <w:pPr>
        <w:numPr>
          <w:ilvl w:val="0"/>
          <w:numId w:val="5"/>
        </w:numPr>
        <w:tabs>
          <w:tab w:val="clear" w:pos="720"/>
          <w:tab w:val="num" w:pos="540"/>
        </w:tabs>
        <w:spacing w:before="120" w:after="120"/>
        <w:ind w:left="540" w:hanging="540"/>
        <w:jc w:val="both"/>
        <w:rPr>
          <w:sz w:val="21"/>
          <w:szCs w:val="21"/>
        </w:rPr>
      </w:pPr>
      <w:r w:rsidRPr="0000383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w:t>
      </w:r>
      <w:r w:rsidR="00BA55B9" w:rsidRPr="0000383A">
        <w:rPr>
          <w:sz w:val="21"/>
          <w:szCs w:val="21"/>
        </w:rPr>
        <w:t> d</w:t>
      </w:r>
      <w:r w:rsidRPr="0000383A">
        <w:rPr>
          <w:sz w:val="21"/>
          <w:szCs w:val="21"/>
        </w:rPr>
        <w:t>okument</w:t>
      </w:r>
      <w:r w:rsidR="00BA55B9" w:rsidRPr="0000383A">
        <w:rPr>
          <w:sz w:val="21"/>
          <w:szCs w:val="21"/>
        </w:rPr>
        <w:t>ů uvedených v čl. I. odst. 7 této smlouvy</w:t>
      </w:r>
      <w:r w:rsidRPr="0000383A">
        <w:rPr>
          <w:sz w:val="21"/>
          <w:szCs w:val="21"/>
        </w:rPr>
        <w:t xml:space="preserv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39C62F9B" w14:textId="645BDAF6" w:rsidR="003077E5" w:rsidRPr="00CD46DD" w:rsidRDefault="004E31FE" w:rsidP="00CD46DD">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lastRenderedPageBreak/>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00383A" w:rsidRDefault="004E31FE" w:rsidP="004E31FE">
      <w:pPr>
        <w:numPr>
          <w:ilvl w:val="0"/>
          <w:numId w:val="19"/>
        </w:numPr>
        <w:tabs>
          <w:tab w:val="clear" w:pos="720"/>
          <w:tab w:val="num" w:pos="540"/>
        </w:tabs>
        <w:spacing w:before="120" w:after="120"/>
        <w:ind w:left="540" w:hanging="540"/>
        <w:jc w:val="both"/>
        <w:rPr>
          <w:sz w:val="21"/>
          <w:szCs w:val="21"/>
        </w:rPr>
      </w:pPr>
      <w:r w:rsidRPr="0000383A">
        <w:rPr>
          <w:sz w:val="21"/>
          <w:szCs w:val="21"/>
        </w:rPr>
        <w:t>Zhotovitel je povinen pořizovat a průběžně objednateli předávat dokumentaci stavby. Dokumentaci stavby tvoří originály následujících dokumentů:</w:t>
      </w:r>
    </w:p>
    <w:p w14:paraId="7FA4FAE6" w14:textId="77777777" w:rsidR="00EF5CAB" w:rsidRPr="0000383A" w:rsidRDefault="00EF5CAB" w:rsidP="00EF5CAB">
      <w:pPr>
        <w:numPr>
          <w:ilvl w:val="5"/>
          <w:numId w:val="5"/>
        </w:numPr>
        <w:tabs>
          <w:tab w:val="clear" w:pos="4320"/>
          <w:tab w:val="num" w:pos="1134"/>
        </w:tabs>
        <w:ind w:left="1083" w:hanging="181"/>
        <w:jc w:val="both"/>
        <w:rPr>
          <w:sz w:val="21"/>
          <w:szCs w:val="21"/>
        </w:rPr>
      </w:pPr>
      <w:r w:rsidRPr="0000383A">
        <w:rPr>
          <w:sz w:val="21"/>
          <w:szCs w:val="21"/>
        </w:rPr>
        <w:t>Stavební deník.</w:t>
      </w:r>
    </w:p>
    <w:p w14:paraId="773A5345" w14:textId="77777777" w:rsidR="00EF5CAB" w:rsidRPr="0000383A" w:rsidRDefault="00EF5CAB" w:rsidP="00664E0C">
      <w:pPr>
        <w:numPr>
          <w:ilvl w:val="5"/>
          <w:numId w:val="5"/>
        </w:numPr>
        <w:tabs>
          <w:tab w:val="clear" w:pos="4320"/>
          <w:tab w:val="num" w:pos="1134"/>
        </w:tabs>
        <w:ind w:left="1083" w:hanging="181"/>
        <w:jc w:val="both"/>
        <w:rPr>
          <w:sz w:val="21"/>
          <w:szCs w:val="21"/>
        </w:rPr>
      </w:pPr>
      <w:r w:rsidRPr="0000383A">
        <w:rPr>
          <w:sz w:val="21"/>
          <w:szCs w:val="21"/>
        </w:rPr>
        <w:t>Certifikáty a prohlášení o shodě použitých materiálů a výrobků.</w:t>
      </w:r>
    </w:p>
    <w:p w14:paraId="139978E0" w14:textId="20B4F799" w:rsidR="00EF5CAB" w:rsidRPr="0000383A" w:rsidRDefault="00466BFA" w:rsidP="00EF5CAB">
      <w:pPr>
        <w:numPr>
          <w:ilvl w:val="5"/>
          <w:numId w:val="5"/>
        </w:numPr>
        <w:tabs>
          <w:tab w:val="clear" w:pos="4320"/>
          <w:tab w:val="num" w:pos="1134"/>
        </w:tabs>
        <w:ind w:left="1083" w:hanging="181"/>
        <w:jc w:val="both"/>
        <w:rPr>
          <w:sz w:val="21"/>
          <w:szCs w:val="21"/>
        </w:rPr>
      </w:pPr>
      <w:r w:rsidRPr="0000383A">
        <w:rPr>
          <w:sz w:val="21"/>
          <w:szCs w:val="21"/>
        </w:rPr>
        <w:t xml:space="preserve">Doklady o likvidaci odpadu (viz. </w:t>
      </w:r>
      <w:proofErr w:type="gramStart"/>
      <w:r w:rsidRPr="0000383A">
        <w:rPr>
          <w:sz w:val="21"/>
          <w:szCs w:val="21"/>
        </w:rPr>
        <w:t>odst.</w:t>
      </w:r>
      <w:proofErr w:type="gramEnd"/>
      <w:r w:rsidRPr="0000383A">
        <w:rPr>
          <w:sz w:val="21"/>
          <w:szCs w:val="21"/>
        </w:rPr>
        <w:t xml:space="preserve"> 1</w:t>
      </w:r>
      <w:r w:rsidR="00CE5319" w:rsidRPr="0000383A">
        <w:rPr>
          <w:sz w:val="21"/>
          <w:szCs w:val="21"/>
        </w:rPr>
        <w:t>5</w:t>
      </w:r>
      <w:r w:rsidRPr="0000383A">
        <w:rPr>
          <w:sz w:val="21"/>
          <w:szCs w:val="21"/>
        </w:rPr>
        <w:t xml:space="preserve"> tohoto článku).</w:t>
      </w:r>
    </w:p>
    <w:p w14:paraId="01BEF821" w14:textId="77777777" w:rsidR="00DC27DE" w:rsidRPr="0000383A" w:rsidRDefault="00DC27DE" w:rsidP="00DC27DE">
      <w:pPr>
        <w:spacing w:before="120" w:after="120"/>
        <w:ind w:left="540"/>
        <w:jc w:val="both"/>
        <w:rPr>
          <w:sz w:val="21"/>
          <w:szCs w:val="21"/>
        </w:rPr>
      </w:pPr>
      <w:r w:rsidRPr="0000383A">
        <w:rPr>
          <w:sz w:val="21"/>
          <w:szCs w:val="21"/>
        </w:rPr>
        <w:t>Dokumentace bude odpovídat požadavkům stanoveným právním řádem a požadavkům, které jsou dány účelem pořizování dokumentace daného druhu.</w:t>
      </w:r>
    </w:p>
    <w:p w14:paraId="02C7A36C" w14:textId="6B79619C" w:rsidR="009873C1" w:rsidRDefault="009873C1" w:rsidP="009873C1">
      <w:pPr>
        <w:spacing w:before="120" w:after="120"/>
        <w:ind w:left="540"/>
        <w:jc w:val="both"/>
        <w:rPr>
          <w:sz w:val="21"/>
          <w:szCs w:val="21"/>
        </w:rPr>
      </w:pPr>
      <w:r w:rsidRPr="0000383A">
        <w:rPr>
          <w:sz w:val="21"/>
          <w:szCs w:val="21"/>
        </w:rPr>
        <w:t>Zhotovitel je povinen průběžně předávat kopie dokladů tvořících dokumentaci stavby. Zhotovitel je povinen nejpozději do dokončení stavby předat originály dokladů tvořících dokumentaci stavby.</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404349" w14:textId="77777777" w:rsidR="00CD46DD" w:rsidRPr="00CE5319" w:rsidRDefault="00664E0C" w:rsidP="00CE5319">
      <w:pPr>
        <w:numPr>
          <w:ilvl w:val="1"/>
          <w:numId w:val="19"/>
        </w:numPr>
        <w:tabs>
          <w:tab w:val="clear" w:pos="1443"/>
          <w:tab w:val="num" w:pos="1134"/>
        </w:tabs>
        <w:spacing w:before="120" w:after="120"/>
        <w:ind w:left="1134" w:hanging="567"/>
        <w:jc w:val="both"/>
        <w:rPr>
          <w:sz w:val="21"/>
          <w:szCs w:val="21"/>
        </w:rPr>
      </w:pPr>
      <w:r w:rsidRPr="00CE5319">
        <w:rPr>
          <w:sz w:val="21"/>
          <w:szCs w:val="21"/>
        </w:rPr>
        <w:t>Vznikne-li v průběhu provádění díla zákonná nutnost určit koordinátora BOZP, zhotovitel to bezodkladně písemně oznámí objednateli.</w:t>
      </w:r>
    </w:p>
    <w:p w14:paraId="3FDBBBC9" w14:textId="77777777" w:rsidR="00DC27DE" w:rsidRPr="00461597" w:rsidRDefault="00414E7B" w:rsidP="00CD46DD">
      <w:pPr>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CF76C7"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CF76C7">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lastRenderedPageBreak/>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Pr="00CD46DD" w:rsidRDefault="00EF5CAB" w:rsidP="00AB6041">
      <w:pPr>
        <w:jc w:val="both"/>
        <w:rPr>
          <w:sz w:val="16"/>
          <w:szCs w:val="16"/>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50F88696" w14:textId="0A09CF16" w:rsidR="00EF5CAB"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55A3B03" w14:textId="77777777" w:rsidR="00CD46DD" w:rsidRPr="00CD46DD" w:rsidRDefault="00CD46DD" w:rsidP="00CD46DD">
      <w:pPr>
        <w:spacing w:before="120" w:after="120"/>
        <w:ind w:left="540"/>
        <w:jc w:val="both"/>
        <w:rPr>
          <w:sz w:val="16"/>
          <w:szCs w:val="16"/>
        </w:rPr>
      </w:pP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2FB2F02E"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00383A">
        <w:rPr>
          <w:sz w:val="21"/>
          <w:szCs w:val="21"/>
        </w:rPr>
        <w:t>Zhotovitel je povinen neprodleně</w:t>
      </w:r>
      <w:r w:rsidR="005D24ED" w:rsidRPr="0000383A">
        <w:rPr>
          <w:sz w:val="21"/>
          <w:szCs w:val="21"/>
        </w:rPr>
        <w:t xml:space="preserve">, nejpozději do </w:t>
      </w:r>
      <w:r w:rsidR="009873C1" w:rsidRPr="0000383A">
        <w:rPr>
          <w:sz w:val="21"/>
          <w:szCs w:val="21"/>
        </w:rPr>
        <w:t>10</w:t>
      </w:r>
      <w:r w:rsidR="005D24ED" w:rsidRPr="0000383A">
        <w:rPr>
          <w:sz w:val="21"/>
          <w:szCs w:val="21"/>
        </w:rPr>
        <w:t xml:space="preserve"> dnů od vzniku</w:t>
      </w:r>
      <w:r w:rsidR="005D24ED">
        <w:rPr>
          <w:sz w:val="21"/>
          <w:szCs w:val="21"/>
        </w:rPr>
        <w:t xml:space="preserve">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w:t>
      </w:r>
      <w:proofErr w:type="gramStart"/>
      <w:r w:rsidRPr="003A245C">
        <w:rPr>
          <w:sz w:val="21"/>
          <w:szCs w:val="21"/>
        </w:rPr>
        <w:t>plnění, i kdyby</w:t>
      </w:r>
      <w:proofErr w:type="gramEnd"/>
      <w:r w:rsidRPr="003A245C">
        <w:rPr>
          <w:sz w:val="21"/>
          <w:szCs w:val="21"/>
        </w:rPr>
        <w:t xml:space="preserve">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 xml:space="preserve">tohoto </w:t>
      </w:r>
      <w:proofErr w:type="gramStart"/>
      <w:r w:rsidRPr="003A245C">
        <w:rPr>
          <w:sz w:val="21"/>
          <w:szCs w:val="21"/>
        </w:rPr>
        <w:t>odstavce.</w:t>
      </w:r>
      <w:proofErr w:type="gramEnd"/>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proofErr w:type="spellStart"/>
      <w:r>
        <w:rPr>
          <w:sz w:val="21"/>
          <w:szCs w:val="21"/>
          <w:lang w:val="en-US"/>
        </w:rPr>
        <w:t>ve</w:t>
      </w:r>
      <w:proofErr w:type="spellEnd"/>
      <w:r w:rsidRPr="004F6980">
        <w:rPr>
          <w:sz w:val="21"/>
          <w:szCs w:val="21"/>
          <w:lang w:val="en-US"/>
        </w:rPr>
        <w:t xml:space="preserve"> </w:t>
      </w:r>
      <w:proofErr w:type="spellStart"/>
      <w:proofErr w:type="gramStart"/>
      <w:r w:rsidRPr="004F6980">
        <w:rPr>
          <w:sz w:val="21"/>
          <w:szCs w:val="21"/>
          <w:lang w:val="en-US"/>
        </w:rPr>
        <w:t>formátu</w:t>
      </w:r>
      <w:proofErr w:type="spellEnd"/>
      <w:r w:rsidRPr="004F6980">
        <w:rPr>
          <w:sz w:val="21"/>
          <w:szCs w:val="21"/>
          <w:lang w:val="en-US"/>
        </w:rPr>
        <w:t xml:space="preserve"> </w:t>
      </w:r>
      <w:r w:rsidR="005256E7">
        <w:rPr>
          <w:sz w:val="21"/>
          <w:szCs w:val="21"/>
          <w:lang w:val="en-US"/>
        </w:rPr>
        <w:t xml:space="preserve"> </w:t>
      </w:r>
      <w:r w:rsidRPr="004F6980">
        <w:rPr>
          <w:sz w:val="21"/>
          <w:szCs w:val="21"/>
          <w:lang w:val="en-US"/>
        </w:rPr>
        <w:t>*.</w:t>
      </w:r>
      <w:proofErr w:type="spellStart"/>
      <w:r w:rsidRPr="004F6980">
        <w:rPr>
          <w:sz w:val="21"/>
          <w:szCs w:val="21"/>
          <w:lang w:val="en-US"/>
        </w:rPr>
        <w:t>xl</w:t>
      </w:r>
      <w:r w:rsidR="005256E7">
        <w:rPr>
          <w:sz w:val="21"/>
          <w:szCs w:val="21"/>
          <w:lang w:val="en-US"/>
        </w:rPr>
        <w:t>s</w:t>
      </w:r>
      <w:proofErr w:type="spellEnd"/>
      <w:proofErr w:type="gramEnd"/>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00383A"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 xml:space="preserve">Nelze-li jednotkovou cenu určit výše popsanými způsoby, použije se cena přiměřená s přihlédnutím k ceně </w:t>
      </w:r>
      <w:r w:rsidRPr="0000383A">
        <w:rPr>
          <w:sz w:val="21"/>
          <w:szCs w:val="21"/>
        </w:rPr>
        <w:t>obvyklé.</w:t>
      </w:r>
    </w:p>
    <w:p w14:paraId="1BA54D4C" w14:textId="7EB4EEB2" w:rsidR="00C02AFF" w:rsidRPr="003A245C" w:rsidRDefault="009873C1" w:rsidP="00C02AFF">
      <w:pPr>
        <w:spacing w:before="120" w:after="120"/>
        <w:ind w:firstLine="540"/>
        <w:jc w:val="both"/>
        <w:rPr>
          <w:sz w:val="21"/>
          <w:szCs w:val="21"/>
        </w:rPr>
      </w:pPr>
      <w:proofErr w:type="gramStart"/>
      <w:r w:rsidRPr="0000383A">
        <w:rPr>
          <w:sz w:val="21"/>
          <w:szCs w:val="21"/>
        </w:rPr>
        <w:t xml:space="preserve">5.4  </w:t>
      </w:r>
      <w:r w:rsidR="00C02AFF" w:rsidRPr="0000383A">
        <w:rPr>
          <w:sz w:val="21"/>
          <w:szCs w:val="21"/>
        </w:rPr>
        <w:t>Zhotovitel</w:t>
      </w:r>
      <w:proofErr w:type="gramEnd"/>
      <w:r w:rsidR="00C02AFF" w:rsidRPr="0000383A">
        <w:rPr>
          <w:sz w:val="21"/>
          <w:szCs w:val="21"/>
        </w:rPr>
        <w:t xml:space="preserve"> může předložit i nabídku pro objednatele výhodnější.</w:t>
      </w:r>
    </w:p>
    <w:p w14:paraId="2F930E96" w14:textId="764EBF8A" w:rsidR="00AB6041" w:rsidRP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w:t>
      </w:r>
      <w:r w:rsidR="00CE5319">
        <w:rPr>
          <w:sz w:val="21"/>
          <w:szCs w:val="21"/>
        </w:rPr>
        <w:t> </w:t>
      </w:r>
      <w:r w:rsidRPr="003A245C">
        <w:rPr>
          <w:sz w:val="21"/>
          <w:szCs w:val="21"/>
        </w:rPr>
        <w:t>dodatečným</w:t>
      </w:r>
      <w:r w:rsidR="00CE5319">
        <w:rPr>
          <w:sz w:val="21"/>
          <w:szCs w:val="21"/>
        </w:rPr>
        <w:t xml:space="preserve"> a novým</w:t>
      </w:r>
      <w:r w:rsidRPr="003A245C">
        <w:rPr>
          <w:sz w:val="21"/>
          <w:szCs w:val="21"/>
        </w:rPr>
        <w:t xml:space="preserve"> pracím bude uzavřen dodatek k této smlouvě. Dodatečné </w:t>
      </w:r>
      <w:r w:rsidR="00CE5319">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lastRenderedPageBreak/>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41D36" w:rsidRPr="00EE2124" w14:paraId="6318644E" w14:textId="77777777" w:rsidTr="00041604">
        <w:trPr>
          <w:trHeight w:val="273"/>
        </w:trPr>
        <w:tc>
          <w:tcPr>
            <w:tcW w:w="8789" w:type="dxa"/>
          </w:tcPr>
          <w:p w14:paraId="196291D0" w14:textId="028223D6" w:rsidR="00D41D36" w:rsidRPr="00EE2124" w:rsidRDefault="00D41D36" w:rsidP="006E5628">
            <w:pPr>
              <w:tabs>
                <w:tab w:val="num" w:pos="432"/>
              </w:tabs>
              <w:spacing w:before="120" w:after="120"/>
              <w:ind w:left="432"/>
              <w:rPr>
                <w:sz w:val="21"/>
                <w:szCs w:val="21"/>
              </w:rPr>
            </w:pPr>
            <w:r w:rsidRPr="00D41D36">
              <w:rPr>
                <w:sz w:val="21"/>
                <w:szCs w:val="21"/>
              </w:rPr>
              <w:t>Záruku za vodorovné značení barvou</w:t>
            </w:r>
          </w:p>
        </w:tc>
        <w:tc>
          <w:tcPr>
            <w:tcW w:w="1367" w:type="dxa"/>
          </w:tcPr>
          <w:p w14:paraId="7580A3CA" w14:textId="03F33C84" w:rsidR="00D41D36" w:rsidRPr="00EE2124" w:rsidRDefault="00D41D3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3243804C" w:rsidR="00C02AFF" w:rsidRPr="00FC2873" w:rsidRDefault="00C02AFF" w:rsidP="00CE5319">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CE5319">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00383A"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 xml:space="preserve">Smluvní pokuty jsou </w:t>
      </w:r>
      <w:r w:rsidRPr="0000383A">
        <w:rPr>
          <w:sz w:val="21"/>
          <w:szCs w:val="21"/>
        </w:rPr>
        <w:t>započitatelné vůči peněžitým závazkům souvisejících s touto smlouvou.</w:t>
      </w:r>
    </w:p>
    <w:p w14:paraId="13A6C8C0" w14:textId="6AE3ACD5" w:rsidR="00DA4F40" w:rsidRPr="0000383A" w:rsidRDefault="00DA4F40" w:rsidP="00DA4F40">
      <w:pPr>
        <w:numPr>
          <w:ilvl w:val="1"/>
          <w:numId w:val="6"/>
        </w:numPr>
        <w:tabs>
          <w:tab w:val="clear" w:pos="810"/>
          <w:tab w:val="num" w:pos="900"/>
        </w:tabs>
        <w:spacing w:before="120" w:after="120"/>
        <w:ind w:left="900" w:hanging="360"/>
        <w:jc w:val="both"/>
        <w:rPr>
          <w:sz w:val="21"/>
          <w:szCs w:val="21"/>
        </w:rPr>
      </w:pPr>
      <w:r w:rsidRPr="0000383A">
        <w:rPr>
          <w:sz w:val="21"/>
          <w:szCs w:val="21"/>
        </w:rPr>
        <w:t xml:space="preserve">Ke smluvní pokutě bude vystavena </w:t>
      </w:r>
      <w:r w:rsidR="00041220" w:rsidRPr="0000383A">
        <w:rPr>
          <w:sz w:val="21"/>
          <w:szCs w:val="21"/>
        </w:rPr>
        <w:t xml:space="preserve">písemná výzva </w:t>
      </w:r>
      <w:r w:rsidR="009873C1" w:rsidRPr="0000383A">
        <w:rPr>
          <w:sz w:val="21"/>
          <w:szCs w:val="21"/>
        </w:rPr>
        <w:t xml:space="preserve">případně faktura </w:t>
      </w:r>
      <w:r w:rsidR="00041220" w:rsidRPr="0000383A">
        <w:rPr>
          <w:sz w:val="21"/>
          <w:szCs w:val="21"/>
        </w:rPr>
        <w:t xml:space="preserve">se lhůtou </w:t>
      </w:r>
      <w:r w:rsidR="00414E7B" w:rsidRPr="0000383A">
        <w:rPr>
          <w:sz w:val="21"/>
          <w:szCs w:val="21"/>
        </w:rPr>
        <w:t>s</w:t>
      </w:r>
      <w:r w:rsidRPr="0000383A">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7869B0AE" w14:textId="77777777" w:rsidR="0000383A" w:rsidRPr="003A245C" w:rsidRDefault="0000383A" w:rsidP="0000383A">
      <w:pPr>
        <w:ind w:left="1083"/>
        <w:jc w:val="both"/>
        <w:rPr>
          <w:sz w:val="21"/>
          <w:szCs w:val="21"/>
        </w:rPr>
      </w:pP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lastRenderedPageBreak/>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proofErr w:type="spellStart"/>
      <w:r w:rsidRPr="00FC2873">
        <w:rPr>
          <w:sz w:val="21"/>
          <w:szCs w:val="21"/>
        </w:rPr>
        <w:t>ust</w:t>
      </w:r>
      <w:proofErr w:type="spellEnd"/>
      <w:r w:rsidRPr="00FC2873">
        <w:rPr>
          <w:sz w:val="21"/>
          <w:szCs w:val="21"/>
        </w:rPr>
        <w: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zahájení insolvenčního řízení, ve kterém je objednatel v postavení dlužníka;</w:t>
      </w:r>
    </w:p>
    <w:p w14:paraId="40932146" w14:textId="77777777" w:rsidR="00DA4F40" w:rsidRPr="0000383A" w:rsidRDefault="00DA4F40" w:rsidP="00DA4F40">
      <w:pPr>
        <w:numPr>
          <w:ilvl w:val="2"/>
          <w:numId w:val="10"/>
        </w:numPr>
        <w:tabs>
          <w:tab w:val="clear" w:pos="2160"/>
          <w:tab w:val="num" w:pos="1080"/>
        </w:tabs>
        <w:ind w:left="1083" w:hanging="181"/>
        <w:jc w:val="both"/>
        <w:rPr>
          <w:sz w:val="21"/>
          <w:szCs w:val="21"/>
        </w:rPr>
      </w:pPr>
      <w:r w:rsidRPr="0000383A">
        <w:rPr>
          <w:sz w:val="21"/>
          <w:szCs w:val="21"/>
        </w:rPr>
        <w:t>prodlení objednatele s úhradou faktur o více než 90 dnů;</w:t>
      </w:r>
    </w:p>
    <w:p w14:paraId="6770473B" w14:textId="70E5E557" w:rsidR="00DA4F40" w:rsidRPr="0000383A" w:rsidRDefault="00DA4F40" w:rsidP="00DA4F40">
      <w:pPr>
        <w:numPr>
          <w:ilvl w:val="2"/>
          <w:numId w:val="10"/>
        </w:numPr>
        <w:tabs>
          <w:tab w:val="clear" w:pos="2160"/>
          <w:tab w:val="num" w:pos="1080"/>
        </w:tabs>
        <w:ind w:left="1080"/>
        <w:jc w:val="both"/>
        <w:rPr>
          <w:sz w:val="21"/>
          <w:szCs w:val="21"/>
        </w:rPr>
      </w:pPr>
      <w:r w:rsidRPr="0000383A">
        <w:rPr>
          <w:sz w:val="21"/>
          <w:szCs w:val="21"/>
        </w:rPr>
        <w:t>prodlení objednatele s předáním prostoru staveniště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 xml:space="preserve">Odstoupení musí být učiněno písemně a je účinné dnem jeho doručení druhé smluvní straně s účinky ex </w:t>
      </w:r>
      <w:proofErr w:type="spellStart"/>
      <w:r w:rsidRPr="003A245C">
        <w:rPr>
          <w:sz w:val="21"/>
          <w:szCs w:val="21"/>
        </w:rPr>
        <w:t>nunc</w:t>
      </w:r>
      <w:proofErr w:type="spellEnd"/>
      <w:r w:rsidRPr="003A245C">
        <w:rPr>
          <w:sz w:val="21"/>
          <w:szCs w:val="21"/>
        </w:rPr>
        <w:t>.</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3E90DD1C" w14:textId="77777777" w:rsidR="00710786" w:rsidRPr="00B873D0" w:rsidRDefault="00710786" w:rsidP="0071078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70AE540F" w14:textId="4055A79F" w:rsidR="003077E5" w:rsidRPr="0000383A" w:rsidRDefault="006D0AE7" w:rsidP="0000383A">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6B2FC551" w14:textId="266B2B4B" w:rsidR="00710786" w:rsidRDefault="006D0AE7" w:rsidP="00144199">
      <w:pPr>
        <w:pStyle w:val="Odstavecseseznamem"/>
        <w:numPr>
          <w:ilvl w:val="3"/>
          <w:numId w:val="16"/>
        </w:numPr>
        <w:ind w:left="993"/>
        <w:jc w:val="both"/>
        <w:rPr>
          <w:sz w:val="21"/>
          <w:szCs w:val="21"/>
        </w:rPr>
      </w:pPr>
      <w:r w:rsidRPr="00FC2873">
        <w:rPr>
          <w:sz w:val="21"/>
          <w:szCs w:val="21"/>
        </w:rPr>
        <w:t>Vzor změnového listu.</w:t>
      </w:r>
    </w:p>
    <w:p w14:paraId="09AC05BD" w14:textId="77777777" w:rsidR="0000383A" w:rsidRPr="0000383A" w:rsidRDefault="0000383A" w:rsidP="0000383A">
      <w:pPr>
        <w:pStyle w:val="Odstavecseseznamem"/>
        <w:ind w:left="993"/>
        <w:jc w:val="both"/>
        <w:rPr>
          <w:sz w:val="21"/>
          <w:szCs w:val="21"/>
        </w:rPr>
      </w:pPr>
      <w:bookmarkStart w:id="0" w:name="_GoBack"/>
      <w:bookmarkEnd w:id="0"/>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lastRenderedPageBreak/>
        <w:t>Tato smlouva je vyhotovena ve 2 vyhotoveních, přičemž každá ze smluvních stran obdrží 1.</w:t>
      </w: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proofErr w:type="gramStart"/>
            <w:r w:rsidRPr="00EE2124">
              <w:rPr>
                <w:sz w:val="21"/>
                <w:szCs w:val="21"/>
              </w:rPr>
              <w:t xml:space="preserve">V  </w:t>
            </w:r>
            <w:r w:rsidRPr="00EE2124">
              <w:rPr>
                <w:b/>
                <w:sz w:val="21"/>
                <w:szCs w:val="21"/>
                <w:highlight w:val="yellow"/>
              </w:rPr>
              <w:t>***</w:t>
            </w:r>
            <w:r w:rsidRPr="00EE2124">
              <w:rPr>
                <w:sz w:val="21"/>
                <w:szCs w:val="21"/>
              </w:rPr>
              <w:t xml:space="preserve"> , dne</w:t>
            </w:r>
            <w:proofErr w:type="gramEnd"/>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3AC9DF14" w:rsidR="00EF5CAB" w:rsidRPr="00746838" w:rsidRDefault="00144199" w:rsidP="00041604">
            <w:pPr>
              <w:spacing w:after="120"/>
              <w:jc w:val="center"/>
              <w:rPr>
                <w:b/>
                <w:sz w:val="21"/>
                <w:szCs w:val="21"/>
              </w:rPr>
            </w:pPr>
            <w:r w:rsidRPr="00144199">
              <w:rPr>
                <w:b/>
                <w:sz w:val="21"/>
                <w:szCs w:val="21"/>
              </w:rPr>
              <w:t>Bc. Roman Hanák</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10"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6763696C" w14:textId="3A33E29A" w:rsidR="00434810" w:rsidRPr="00434810" w:rsidRDefault="00434810" w:rsidP="00434810">
      <w:pPr>
        <w:tabs>
          <w:tab w:val="center" w:pos="4536"/>
          <w:tab w:val="right" w:pos="9072"/>
        </w:tabs>
        <w:spacing w:after="120"/>
        <w:jc w:val="both"/>
        <w:outlineLvl w:val="0"/>
        <w:rPr>
          <w:bCs/>
          <w:color w:val="000000"/>
          <w:sz w:val="21"/>
          <w:szCs w:val="21"/>
        </w:rPr>
      </w:pPr>
      <w:r w:rsidRPr="00434810">
        <w:rPr>
          <w:bCs/>
          <w:color w:val="000000"/>
          <w:sz w:val="21"/>
          <w:szCs w:val="21"/>
        </w:rPr>
        <w:t>Ing. Z</w:t>
      </w:r>
      <w:r w:rsidRPr="00434810">
        <w:rPr>
          <w:rStyle w:val="Siln"/>
          <w:rFonts w:ascii="Open Sans" w:hAnsi="Open Sans"/>
          <w:b w:val="0"/>
          <w:color w:val="353535"/>
          <w:sz w:val="21"/>
          <w:szCs w:val="21"/>
          <w:bdr w:val="none" w:sz="0" w:space="0" w:color="auto" w:frame="1"/>
          <w:shd w:val="clear" w:color="auto" w:fill="FFFFFF"/>
        </w:rPr>
        <w:t>deněk  Komůrka</w:t>
      </w:r>
      <w:r w:rsidRPr="00434810">
        <w:rPr>
          <w:bCs/>
          <w:color w:val="000000"/>
          <w:sz w:val="21"/>
          <w:szCs w:val="21"/>
        </w:rPr>
        <w:t>, vedoucí oblasti Západ, tel.: +420 515 211 200</w:t>
      </w:r>
    </w:p>
    <w:p w14:paraId="2AA68F46" w14:textId="51860196" w:rsidR="006E5628" w:rsidRPr="00434810" w:rsidRDefault="00434810" w:rsidP="00434810">
      <w:pPr>
        <w:tabs>
          <w:tab w:val="center" w:pos="4536"/>
          <w:tab w:val="right" w:pos="9072"/>
        </w:tabs>
        <w:spacing w:after="120"/>
        <w:jc w:val="both"/>
        <w:outlineLvl w:val="0"/>
        <w:rPr>
          <w:bCs/>
          <w:color w:val="000000"/>
          <w:sz w:val="21"/>
          <w:szCs w:val="21"/>
        </w:rPr>
      </w:pPr>
      <w:r w:rsidRPr="00434810">
        <w:rPr>
          <w:bCs/>
          <w:color w:val="000000"/>
          <w:sz w:val="21"/>
          <w:szCs w:val="21"/>
        </w:rPr>
        <w:t xml:space="preserve">e-mail: </w:t>
      </w:r>
      <w:r w:rsidRPr="00434810">
        <w:rPr>
          <w:sz w:val="21"/>
          <w:szCs w:val="21"/>
        </w:rPr>
        <w:t xml:space="preserve"> zdenek.komurka@susjmk.cz</w:t>
      </w:r>
    </w:p>
    <w:p w14:paraId="52D34938" w14:textId="77777777" w:rsidR="0044579A" w:rsidRPr="0044579A" w:rsidRDefault="0044579A" w:rsidP="0044579A">
      <w:pPr>
        <w:tabs>
          <w:tab w:val="center" w:pos="4536"/>
          <w:tab w:val="right" w:pos="9072"/>
        </w:tabs>
        <w:spacing w:after="120"/>
        <w:jc w:val="both"/>
        <w:outlineLvl w:val="0"/>
        <w:rPr>
          <w:bCs/>
          <w:color w:val="000000"/>
          <w:sz w:val="21"/>
          <w:szCs w:val="21"/>
        </w:rPr>
      </w:pP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22FC74BB" w14:textId="77777777" w:rsidR="00434810" w:rsidRPr="00434810" w:rsidRDefault="00434810" w:rsidP="00434810">
      <w:pPr>
        <w:pStyle w:val="Zhlav"/>
        <w:rPr>
          <w:bCs/>
          <w:color w:val="000000"/>
          <w:sz w:val="21"/>
          <w:szCs w:val="21"/>
        </w:rPr>
      </w:pPr>
    </w:p>
    <w:p w14:paraId="4A16F157" w14:textId="68F2F6EA" w:rsidR="00434810" w:rsidRPr="00434810" w:rsidRDefault="00434810" w:rsidP="00434810">
      <w:pPr>
        <w:tabs>
          <w:tab w:val="center" w:pos="4536"/>
          <w:tab w:val="right" w:pos="9072"/>
        </w:tabs>
        <w:spacing w:after="120"/>
        <w:jc w:val="both"/>
        <w:outlineLvl w:val="0"/>
        <w:rPr>
          <w:bCs/>
          <w:color w:val="000000"/>
          <w:sz w:val="21"/>
          <w:szCs w:val="21"/>
        </w:rPr>
      </w:pPr>
      <w:r w:rsidRPr="00434810">
        <w:rPr>
          <w:bCs/>
          <w:color w:val="000000"/>
          <w:sz w:val="21"/>
          <w:szCs w:val="21"/>
        </w:rPr>
        <w:t xml:space="preserve">Josef Fukač, vedoucí PÚ oblasti Západ, tel. +420 603 534 578                </w:t>
      </w:r>
    </w:p>
    <w:p w14:paraId="7CA32564" w14:textId="19DE6750" w:rsidR="00434810" w:rsidRPr="00434810" w:rsidRDefault="00434810" w:rsidP="00434810">
      <w:pPr>
        <w:tabs>
          <w:tab w:val="center" w:pos="4536"/>
          <w:tab w:val="right" w:pos="9072"/>
        </w:tabs>
        <w:spacing w:after="120"/>
        <w:jc w:val="both"/>
        <w:outlineLvl w:val="0"/>
        <w:rPr>
          <w:bCs/>
          <w:color w:val="000000"/>
          <w:sz w:val="21"/>
          <w:szCs w:val="21"/>
        </w:rPr>
      </w:pPr>
      <w:r w:rsidRPr="00434810">
        <w:rPr>
          <w:bCs/>
          <w:color w:val="000000"/>
          <w:sz w:val="21"/>
          <w:szCs w:val="21"/>
        </w:rPr>
        <w:t xml:space="preserve">e-mail:  </w:t>
      </w:r>
      <w:hyperlink r:id="rId11" w:history="1">
        <w:r w:rsidRPr="00434810">
          <w:rPr>
            <w:color w:val="000000"/>
            <w:sz w:val="21"/>
            <w:szCs w:val="21"/>
          </w:rPr>
          <w:t>josef.fukac@susjmk.cz</w:t>
        </w:r>
      </w:hyperlink>
    </w:p>
    <w:p w14:paraId="0AA2206C" w14:textId="19DE6750" w:rsidR="00434810" w:rsidRPr="00434810" w:rsidRDefault="00434810" w:rsidP="00434810">
      <w:pPr>
        <w:tabs>
          <w:tab w:val="center" w:pos="4536"/>
          <w:tab w:val="right" w:pos="9072"/>
        </w:tabs>
        <w:spacing w:after="120"/>
        <w:jc w:val="both"/>
        <w:outlineLvl w:val="0"/>
        <w:rPr>
          <w:bCs/>
          <w:color w:val="000000"/>
          <w:sz w:val="21"/>
          <w:szCs w:val="21"/>
        </w:rPr>
      </w:pPr>
    </w:p>
    <w:p w14:paraId="5F1461C9" w14:textId="77777777" w:rsidR="00703774" w:rsidRPr="00434810" w:rsidRDefault="00703774" w:rsidP="00434810">
      <w:pPr>
        <w:tabs>
          <w:tab w:val="center" w:pos="4536"/>
          <w:tab w:val="right" w:pos="9072"/>
        </w:tabs>
        <w:spacing w:after="120"/>
        <w:jc w:val="both"/>
        <w:outlineLvl w:val="0"/>
        <w:rPr>
          <w:bCs/>
          <w:color w:val="000000"/>
          <w:sz w:val="21"/>
          <w:szCs w:val="21"/>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14D32985" w:rsidR="00703774" w:rsidRPr="0084760C" w:rsidRDefault="00144199" w:rsidP="00041604">
            <w:pPr>
              <w:spacing w:after="120"/>
              <w:jc w:val="center"/>
              <w:rPr>
                <w:b/>
                <w:sz w:val="21"/>
                <w:szCs w:val="21"/>
              </w:rPr>
            </w:pPr>
            <w:r w:rsidRPr="00144199">
              <w:rPr>
                <w:b/>
                <w:sz w:val="21"/>
                <w:szCs w:val="21"/>
              </w:rPr>
              <w:t>Bc. Roman Hanák</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proofErr w:type="gramStart"/>
      <w:r w:rsidR="008649A7">
        <w:rPr>
          <w:b/>
          <w:bCs/>
          <w:smallCaps/>
          <w:spacing w:val="20"/>
          <w:sz w:val="21"/>
          <w:szCs w:val="21"/>
          <w:lang w:val="cs-CZ"/>
        </w:rPr>
        <w:t>4</w:t>
      </w:r>
      <w:r w:rsidRPr="00EE2124">
        <w:rPr>
          <w:b/>
          <w:bCs/>
          <w:smallCaps/>
          <w:spacing w:val="20"/>
          <w:sz w:val="21"/>
          <w:szCs w:val="21"/>
        </w:rPr>
        <w:t xml:space="preserve">  Vzor</w:t>
      </w:r>
      <w:proofErr w:type="gramEnd"/>
      <w:r w:rsidRPr="00EE2124">
        <w:rPr>
          <w:b/>
          <w:bCs/>
          <w:smallCaps/>
          <w:spacing w:val="20"/>
          <w:sz w:val="21"/>
          <w:szCs w:val="21"/>
        </w:rPr>
        <w:t xml:space="preserve">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00383A">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00383A">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00383A">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00383A">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00383A">
              <w:rPr>
                <w:sz w:val="20"/>
              </w:rPr>
            </w:r>
            <w:r w:rsidR="0000383A">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00383A">
              <w:rPr>
                <w:sz w:val="22"/>
              </w:rPr>
            </w:r>
            <w:r w:rsidR="0000383A">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00383A">
              <w:rPr>
                <w:sz w:val="22"/>
              </w:rPr>
            </w:r>
            <w:r w:rsidR="0000383A">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proofErr w:type="spellStart"/>
            <w:r w:rsidRPr="00EE2124">
              <w:rPr>
                <w:b/>
                <w:bCs/>
                <w:sz w:val="22"/>
              </w:rPr>
              <w:t>Méněpráce</w:t>
            </w:r>
            <w:proofErr w:type="spellEnd"/>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00383A">
      <w:rPr>
        <w:noProof/>
        <w:sz w:val="21"/>
        <w:szCs w:val="21"/>
      </w:rPr>
      <w:t>14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00383A">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00383A">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00383A">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584EE92D" w:rsidR="006E5628" w:rsidRPr="00700F92" w:rsidRDefault="00FC2496" w:rsidP="00041604">
          <w:pPr>
            <w:tabs>
              <w:tab w:val="left" w:pos="810"/>
            </w:tabs>
            <w:ind w:left="34"/>
            <w:rPr>
              <w:b/>
              <w:spacing w:val="20"/>
              <w:sz w:val="21"/>
              <w:szCs w:val="21"/>
            </w:rPr>
          </w:pPr>
          <w:r w:rsidRPr="00FC2496">
            <w:rPr>
              <w:b/>
              <w:bCs/>
              <w:spacing w:val="20"/>
              <w:sz w:val="21"/>
              <w:szCs w:val="21"/>
            </w:rPr>
            <w:t>MIKROKOBERCE 2022 - II/398 Horní Dunajovice - Mikulovice</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066634BD" w:rsidR="006E5628" w:rsidRPr="00700F92" w:rsidRDefault="006E5628" w:rsidP="00FC2496">
          <w:pPr>
            <w:tabs>
              <w:tab w:val="left" w:pos="810"/>
            </w:tabs>
            <w:rPr>
              <w:b/>
              <w:spacing w:val="20"/>
              <w:sz w:val="21"/>
              <w:szCs w:val="21"/>
            </w:rPr>
          </w:pPr>
          <w:r w:rsidRPr="004E31FE">
            <w:rPr>
              <w:b/>
              <w:bCs/>
              <w:spacing w:val="20"/>
              <w:sz w:val="21"/>
              <w:szCs w:val="21"/>
            </w:rPr>
            <w:t>MIKROKOBERCE 20</w:t>
          </w:r>
          <w:r>
            <w:rPr>
              <w:b/>
              <w:bCs/>
              <w:spacing w:val="20"/>
              <w:sz w:val="21"/>
              <w:szCs w:val="21"/>
            </w:rPr>
            <w:t>2</w:t>
          </w:r>
          <w:r w:rsidR="00FC2496">
            <w:rPr>
              <w:b/>
              <w:bCs/>
              <w:spacing w:val="20"/>
              <w:sz w:val="21"/>
              <w:szCs w:val="21"/>
            </w:rPr>
            <w:t xml:space="preserve">2 </w:t>
          </w:r>
          <w:r>
            <w:rPr>
              <w:b/>
              <w:bCs/>
              <w:spacing w:val="20"/>
              <w:sz w:val="21"/>
              <w:szCs w:val="21"/>
            </w:rPr>
            <w:t xml:space="preserve">- </w:t>
          </w:r>
          <w:r w:rsidR="00FC2496" w:rsidRPr="00A84324">
            <w:rPr>
              <w:b/>
              <w:color w:val="000000"/>
              <w:sz w:val="22"/>
              <w:szCs w:val="22"/>
            </w:rPr>
            <w:t>II/39</w:t>
          </w:r>
          <w:r w:rsidR="00FC2496">
            <w:rPr>
              <w:b/>
              <w:color w:val="000000"/>
              <w:sz w:val="22"/>
              <w:szCs w:val="22"/>
            </w:rPr>
            <w:t>8</w:t>
          </w:r>
          <w:r w:rsidR="00FC2496" w:rsidRPr="00A84324">
            <w:rPr>
              <w:b/>
              <w:color w:val="000000"/>
              <w:sz w:val="22"/>
              <w:szCs w:val="22"/>
            </w:rPr>
            <w:t xml:space="preserve"> Horní Dunajovice - Mikulovice</w:t>
          </w:r>
        </w:p>
      </w:tc>
    </w:tr>
    <w:tr w:rsidR="006E5628" w:rsidRPr="00102C96" w14:paraId="2E7494CD" w14:textId="77777777">
      <w:tc>
        <w:tcPr>
          <w:tcW w:w="4788" w:type="dxa"/>
        </w:tcPr>
        <w:p w14:paraId="6CCBC36F" w14:textId="15CC4BA2"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8"/>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0383A"/>
    <w:rsid w:val="00041220"/>
    <w:rsid w:val="00041604"/>
    <w:rsid w:val="00060DA3"/>
    <w:rsid w:val="000A4E24"/>
    <w:rsid w:val="001108EC"/>
    <w:rsid w:val="00144199"/>
    <w:rsid w:val="0015528A"/>
    <w:rsid w:val="001606C5"/>
    <w:rsid w:val="002A5376"/>
    <w:rsid w:val="002D5819"/>
    <w:rsid w:val="002D7111"/>
    <w:rsid w:val="002E6676"/>
    <w:rsid w:val="003077E5"/>
    <w:rsid w:val="00356EFA"/>
    <w:rsid w:val="003D509D"/>
    <w:rsid w:val="00414E7B"/>
    <w:rsid w:val="00434810"/>
    <w:rsid w:val="004422F8"/>
    <w:rsid w:val="0044579A"/>
    <w:rsid w:val="00461597"/>
    <w:rsid w:val="004619D4"/>
    <w:rsid w:val="00466BFA"/>
    <w:rsid w:val="004E31FE"/>
    <w:rsid w:val="005256E7"/>
    <w:rsid w:val="005C340C"/>
    <w:rsid w:val="005D24ED"/>
    <w:rsid w:val="005D614F"/>
    <w:rsid w:val="005F5E74"/>
    <w:rsid w:val="00664E0C"/>
    <w:rsid w:val="006D0AE7"/>
    <w:rsid w:val="006E5628"/>
    <w:rsid w:val="006F6F97"/>
    <w:rsid w:val="00703774"/>
    <w:rsid w:val="0070487C"/>
    <w:rsid w:val="00710786"/>
    <w:rsid w:val="00746838"/>
    <w:rsid w:val="00750A8E"/>
    <w:rsid w:val="007528AB"/>
    <w:rsid w:val="00780506"/>
    <w:rsid w:val="007A0FD6"/>
    <w:rsid w:val="007E2BA2"/>
    <w:rsid w:val="008649A7"/>
    <w:rsid w:val="008867C5"/>
    <w:rsid w:val="00895767"/>
    <w:rsid w:val="008C5679"/>
    <w:rsid w:val="009873C1"/>
    <w:rsid w:val="009908AA"/>
    <w:rsid w:val="009A1371"/>
    <w:rsid w:val="009F7B06"/>
    <w:rsid w:val="00AB6041"/>
    <w:rsid w:val="00AD70F5"/>
    <w:rsid w:val="00B60E9E"/>
    <w:rsid w:val="00B7038B"/>
    <w:rsid w:val="00BA55B9"/>
    <w:rsid w:val="00C02AFF"/>
    <w:rsid w:val="00C7398A"/>
    <w:rsid w:val="00C7624D"/>
    <w:rsid w:val="00CC27BE"/>
    <w:rsid w:val="00CD46DD"/>
    <w:rsid w:val="00CE5319"/>
    <w:rsid w:val="00CF2365"/>
    <w:rsid w:val="00CF76C7"/>
    <w:rsid w:val="00D41D36"/>
    <w:rsid w:val="00D5050D"/>
    <w:rsid w:val="00D63DE6"/>
    <w:rsid w:val="00DA4F40"/>
    <w:rsid w:val="00DA6078"/>
    <w:rsid w:val="00DB0BBC"/>
    <w:rsid w:val="00DC27DE"/>
    <w:rsid w:val="00DF1D60"/>
    <w:rsid w:val="00DF255B"/>
    <w:rsid w:val="00E70AAC"/>
    <w:rsid w:val="00EC2166"/>
    <w:rsid w:val="00ED1BF1"/>
    <w:rsid w:val="00EE63F8"/>
    <w:rsid w:val="00EF5CAB"/>
    <w:rsid w:val="00F027C9"/>
    <w:rsid w:val="00FB0FAA"/>
    <w:rsid w:val="00FB1F57"/>
    <w:rsid w:val="00FB22ED"/>
    <w:rsid w:val="00FC24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Odstavec se seznamem1,Odstavec,Reference List"/>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 w:type="character" w:styleId="Siln">
    <w:name w:val="Strong"/>
    <w:basedOn w:val="Standardnpsmoodstavce"/>
    <w:uiPriority w:val="22"/>
    <w:qFormat/>
    <w:rsid w:val="004348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webSettings" Target="web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578</TotalTime>
  <Pages>14</Pages>
  <Words>4359</Words>
  <Characters>25724</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30023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46</cp:revision>
  <cp:lastPrinted>2018-07-10T07:25:00Z</cp:lastPrinted>
  <dcterms:created xsi:type="dcterms:W3CDTF">2017-08-11T10:18:00Z</dcterms:created>
  <dcterms:modified xsi:type="dcterms:W3CDTF">2022-05-23T06:45:00Z</dcterms:modified>
</cp:coreProperties>
</file>